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3C0032" w:rsidRDefault="003C0032">
      <w:pPr>
        <w:jc w:val="center"/>
        <w:rPr>
          <w:rFonts w:ascii="Times New Roman" w:eastAsia="Times New Roman" w:hAnsi="Times New Roman" w:cs="Times New Roman"/>
          <w:sz w:val="32"/>
          <w:szCs w:val="32"/>
        </w:rPr>
      </w:pPr>
    </w:p>
    <w:p w14:paraId="00000002" w14:textId="77777777" w:rsidR="003C0032" w:rsidRDefault="003C0032">
      <w:pPr>
        <w:jc w:val="center"/>
        <w:rPr>
          <w:rFonts w:ascii="Times New Roman" w:eastAsia="Times New Roman" w:hAnsi="Times New Roman" w:cs="Times New Roman"/>
          <w:sz w:val="32"/>
          <w:szCs w:val="32"/>
        </w:rPr>
      </w:pPr>
    </w:p>
    <w:p w14:paraId="00000003" w14:textId="77777777" w:rsidR="003C0032" w:rsidRDefault="003C0032">
      <w:pPr>
        <w:jc w:val="center"/>
        <w:rPr>
          <w:rFonts w:ascii="Times New Roman" w:eastAsia="Times New Roman" w:hAnsi="Times New Roman" w:cs="Times New Roman"/>
          <w:sz w:val="32"/>
          <w:szCs w:val="32"/>
        </w:rPr>
      </w:pPr>
    </w:p>
    <w:p w14:paraId="00000004" w14:textId="77777777" w:rsidR="003C0032" w:rsidRDefault="003C0032">
      <w:pPr>
        <w:jc w:val="center"/>
        <w:rPr>
          <w:rFonts w:ascii="Times New Roman" w:eastAsia="Times New Roman" w:hAnsi="Times New Roman" w:cs="Times New Roman"/>
          <w:sz w:val="32"/>
          <w:szCs w:val="32"/>
        </w:rPr>
      </w:pPr>
    </w:p>
    <w:p w14:paraId="00000005" w14:textId="77777777" w:rsidR="003C0032" w:rsidRDefault="003C0032">
      <w:pPr>
        <w:jc w:val="center"/>
        <w:rPr>
          <w:rFonts w:ascii="Times New Roman" w:eastAsia="Times New Roman" w:hAnsi="Times New Roman" w:cs="Times New Roman"/>
          <w:sz w:val="32"/>
          <w:szCs w:val="32"/>
        </w:rPr>
      </w:pPr>
    </w:p>
    <w:p w14:paraId="00000006" w14:textId="77777777" w:rsidR="003C0032" w:rsidRDefault="003C0032">
      <w:pPr>
        <w:jc w:val="center"/>
        <w:rPr>
          <w:rFonts w:ascii="Times New Roman" w:eastAsia="Times New Roman" w:hAnsi="Times New Roman" w:cs="Times New Roman"/>
          <w:sz w:val="32"/>
          <w:szCs w:val="32"/>
        </w:rPr>
      </w:pPr>
    </w:p>
    <w:p w14:paraId="00000007" w14:textId="77777777" w:rsidR="003C0032" w:rsidRDefault="003C0032">
      <w:pPr>
        <w:jc w:val="center"/>
        <w:rPr>
          <w:rFonts w:ascii="Times New Roman" w:eastAsia="Times New Roman" w:hAnsi="Times New Roman" w:cs="Times New Roman"/>
          <w:sz w:val="32"/>
          <w:szCs w:val="32"/>
        </w:rPr>
      </w:pPr>
    </w:p>
    <w:p w14:paraId="00000008" w14:textId="77777777" w:rsidR="003C0032" w:rsidRDefault="003C0032">
      <w:pPr>
        <w:jc w:val="center"/>
        <w:rPr>
          <w:rFonts w:ascii="Times New Roman" w:eastAsia="Times New Roman" w:hAnsi="Times New Roman" w:cs="Times New Roman"/>
          <w:sz w:val="32"/>
          <w:szCs w:val="32"/>
        </w:rPr>
      </w:pPr>
    </w:p>
    <w:p w14:paraId="00000009" w14:textId="77777777" w:rsidR="003C0032" w:rsidRDefault="003C0032">
      <w:pPr>
        <w:jc w:val="center"/>
        <w:rPr>
          <w:rFonts w:ascii="Times New Roman" w:eastAsia="Times New Roman" w:hAnsi="Times New Roman" w:cs="Times New Roman"/>
          <w:sz w:val="32"/>
          <w:szCs w:val="32"/>
        </w:rPr>
      </w:pPr>
    </w:p>
    <w:p w14:paraId="0000000A" w14:textId="77777777" w:rsidR="003C0032" w:rsidRDefault="003C0032">
      <w:pPr>
        <w:jc w:val="center"/>
        <w:rPr>
          <w:rFonts w:ascii="Times New Roman" w:eastAsia="Times New Roman" w:hAnsi="Times New Roman" w:cs="Times New Roman"/>
          <w:sz w:val="32"/>
          <w:szCs w:val="32"/>
        </w:rPr>
      </w:pPr>
    </w:p>
    <w:p w14:paraId="0000000B" w14:textId="77777777" w:rsidR="003C0032" w:rsidRDefault="003C0032">
      <w:pPr>
        <w:jc w:val="center"/>
        <w:rPr>
          <w:rFonts w:ascii="Times New Roman" w:eastAsia="Times New Roman" w:hAnsi="Times New Roman" w:cs="Times New Roman"/>
          <w:sz w:val="32"/>
          <w:szCs w:val="32"/>
        </w:rPr>
      </w:pPr>
    </w:p>
    <w:p w14:paraId="0000000C" w14:textId="77777777" w:rsidR="003C0032" w:rsidRDefault="003C0032">
      <w:pPr>
        <w:jc w:val="center"/>
        <w:rPr>
          <w:rFonts w:ascii="Times New Roman" w:eastAsia="Times New Roman" w:hAnsi="Times New Roman" w:cs="Times New Roman"/>
          <w:sz w:val="32"/>
          <w:szCs w:val="32"/>
        </w:rPr>
      </w:pPr>
    </w:p>
    <w:p w14:paraId="0000000D" w14:textId="77777777" w:rsidR="003C0032" w:rsidRDefault="00C158C5">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ДОКЛАД</w:t>
      </w:r>
    </w:p>
    <w:p w14:paraId="0000000E" w14:textId="77777777" w:rsidR="003C0032" w:rsidRDefault="00C158C5">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ЗА</w:t>
      </w:r>
    </w:p>
    <w:p w14:paraId="0000000F" w14:textId="77777777" w:rsidR="003C0032" w:rsidRDefault="00C158C5">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ДЕЙНОСТТА НА </w:t>
      </w:r>
    </w:p>
    <w:p w14:paraId="00000010" w14:textId="77777777" w:rsidR="003C0032" w:rsidRDefault="00C158C5">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ПП “РЕПУБЛИКАНЦИ ЗА БЪЛГАРИЯ”</w:t>
      </w:r>
    </w:p>
    <w:p w14:paraId="00000011" w14:textId="77777777" w:rsidR="003C0032" w:rsidRDefault="00C158C5">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2022 г. </w:t>
      </w:r>
      <w:r>
        <w:br w:type="page"/>
      </w:r>
    </w:p>
    <w:p w14:paraId="00000012" w14:textId="77777777" w:rsidR="003C0032" w:rsidRDefault="00C158C5">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ОБЩО ПРЕДСТАВЯНЕ</w:t>
      </w:r>
    </w:p>
    <w:p w14:paraId="00000013" w14:textId="77777777" w:rsidR="003C0032" w:rsidRDefault="003C0032">
      <w:pPr>
        <w:jc w:val="both"/>
        <w:rPr>
          <w:rFonts w:ascii="Times New Roman" w:eastAsia="Times New Roman" w:hAnsi="Times New Roman" w:cs="Times New Roman"/>
          <w:sz w:val="24"/>
          <w:szCs w:val="24"/>
        </w:rPr>
      </w:pPr>
    </w:p>
    <w:p w14:paraId="00000014" w14:textId="77777777" w:rsidR="003C0032" w:rsidRDefault="00C158C5">
      <w:pPr>
        <w:numPr>
          <w:ilvl w:val="0"/>
          <w:numId w:val="3"/>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Административни данни</w:t>
      </w:r>
    </w:p>
    <w:p w14:paraId="00000015" w14:textId="77777777" w:rsidR="003C0032" w:rsidRDefault="003C0032">
      <w:pPr>
        <w:jc w:val="both"/>
        <w:rPr>
          <w:rFonts w:ascii="Times New Roman" w:eastAsia="Times New Roman" w:hAnsi="Times New Roman" w:cs="Times New Roman"/>
          <w:sz w:val="24"/>
          <w:szCs w:val="24"/>
        </w:rPr>
      </w:pPr>
    </w:p>
    <w:p w14:paraId="00000016" w14:textId="77777777" w:rsidR="003C0032" w:rsidRDefault="00C15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“Републиканци за България” е юридическо лице, регистрирано като политическа партия по реда на Закона за политическите партии (ЗПП) и Конституцията на Република България. Учредяването на партията е извършено в съответствие със ЗПП, като на 20.09.2020 г. е проведено заседание на Инициативния комитет за учредяване на партията, а учредителното събрание е проведено но 27.09.2020 г. в гр. София.</w:t>
      </w:r>
    </w:p>
    <w:p w14:paraId="00000017" w14:textId="77777777" w:rsidR="003C0032" w:rsidRDefault="00C158C5">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След като императивните изисквания на Глава II от ЗПП бяха изпълнени, Софийският градски съд постанови Решение от 27.10.2020 г., допълнено с Решение от 28.10.2020 г., с които ПП “Републиканци за България” бе регистрирана и вписана в регистъра на политическите партии, воден от Софийски градски съд, по ф.д. №33/2020 г., със седалище и адрес на управление в гр. София, бул. “Осми Декември” №13, партер. Впоследствие, партията бе вписана в регистър БУЛСТАТ при Агенция по вписванията под №177465842.</w:t>
      </w:r>
    </w:p>
    <w:p w14:paraId="00000018" w14:textId="77777777" w:rsidR="003C0032" w:rsidRDefault="003C0032">
      <w:pPr>
        <w:ind w:firstLine="720"/>
        <w:jc w:val="both"/>
        <w:rPr>
          <w:rFonts w:ascii="Times New Roman" w:eastAsia="Times New Roman" w:hAnsi="Times New Roman" w:cs="Times New Roman"/>
          <w:sz w:val="24"/>
          <w:szCs w:val="24"/>
        </w:rPr>
      </w:pPr>
    </w:p>
    <w:p w14:paraId="00000019" w14:textId="77777777" w:rsidR="003C0032" w:rsidRDefault="00C158C5">
      <w:pPr>
        <w:numPr>
          <w:ilvl w:val="0"/>
          <w:numId w:val="3"/>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Структура</w:t>
      </w:r>
    </w:p>
    <w:p w14:paraId="0000001A" w14:textId="77777777" w:rsidR="003C0032" w:rsidRDefault="003C0032">
      <w:pPr>
        <w:jc w:val="both"/>
        <w:rPr>
          <w:rFonts w:ascii="Times New Roman" w:eastAsia="Times New Roman" w:hAnsi="Times New Roman" w:cs="Times New Roman"/>
          <w:sz w:val="24"/>
          <w:szCs w:val="24"/>
        </w:rPr>
      </w:pPr>
    </w:p>
    <w:p w14:paraId="0000001B" w14:textId="77777777" w:rsidR="003C0032" w:rsidRDefault="00C158C5">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Организационната структура на ПП “Републиканци за България” е съставена от три нива - общински организации, областни организации и национална организация.</w:t>
      </w:r>
    </w:p>
    <w:p w14:paraId="0000001C" w14:textId="77777777" w:rsidR="003C0032" w:rsidRDefault="00C158C5">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Общинските организации включват в състава си първичните организационни единици на партията (клубове), чиито членове влизат в състава на Общото събрание на съответната общинска организация. Дейността на общинските организации се реализира от общински координатори, избирани от Общото събрание на всяка общинска организация.</w:t>
      </w:r>
    </w:p>
    <w:p w14:paraId="0000001D" w14:textId="77777777" w:rsidR="003C0032" w:rsidRDefault="00C158C5">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Областните организации включват в състава си всички общински организации на територията на дадена административна област. Изключение от този подход правят организациите в София-град и Пловдив-град, в чийто състав влизат партийните организации от районите на двата града. Всяка областна организация има Общо събрание, в което се включват общинските координатори на всички общински организации на територията на областта, по един делегат, избиран от всяка Общинска организация, както и съответният областен координатор.</w:t>
      </w:r>
    </w:p>
    <w:p w14:paraId="0000001E" w14:textId="77777777" w:rsidR="003C0032" w:rsidRDefault="00C158C5">
      <w:pPr>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Националната организация на ПП “Републиканци за България” има Национално събрание, Изпълнителен съвет и Контролен съвет. В Националното събрание влизат всички Общински координатори като представители на съответните Общински организации, всички Областни координатори като представители на съответните Областни организации, членовете на Изпълнителния съвет, Контролния съвет, както и избраните кметове на общини, областни управители, народни представители, министри и членове на Европейския парламент, които са членове на ПП „Републиканци за Бъл</w:t>
      </w:r>
      <w:r>
        <w:rPr>
          <w:rFonts w:ascii="Times New Roman" w:eastAsia="Times New Roman" w:hAnsi="Times New Roman" w:cs="Times New Roman"/>
          <w:color w:val="333333"/>
          <w:sz w:val="24"/>
          <w:szCs w:val="24"/>
        </w:rPr>
        <w:t>гария".</w:t>
      </w:r>
    </w:p>
    <w:p w14:paraId="0000001F" w14:textId="77777777" w:rsidR="003C0032" w:rsidRDefault="00C158C5">
      <w:pPr>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Ръководните органи на партията са - Председател - Цветан Генчев Цветанов, Заместник-председател - Павел Бисеров Вълнев, Изпълнителен съвет и Контролен съвет.</w:t>
      </w:r>
    </w:p>
    <w:p w14:paraId="00000020" w14:textId="77777777" w:rsidR="003C0032" w:rsidRDefault="00C158C5">
      <w:pPr>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ab/>
        <w:t>Изпълнителният съвет на партията е в състав - Председателя на партията, Заместник-председателя на партията и 31 (тридесет и един) члена, както следва: Румен Иванов Кънчев, Тодор Борисов Тодоров, Виктор Владимиров Серафимов, Радостина Стефанова Циркова, Огнян Кирилов Ценков, Рейхан Ридван Вели, Севдалин Иванов Куцаров, Ченко Александров Сотиров, Румен Тодоров Динев, Петко Николаев Панамски, Йордан Христов Грижов, Борис Велев Велев, Галя Стефанова Трайкова, Христо Дженев Казанджиев, Теодор Делков Шойлеков, Константин-Кирил Веселинов Иванов, Джема Маринова Грозданова, Петко Радов Чамов, Георги Иванов Икономов, Владимир Георгиев Георгиев, Светлана Иванова Василева, Динко Георгиев Георгиев, Мариан Георгиев Костадинов, Кемал Мустафов Тинев, Цветанка Боянова Гаврилова-Иванова, Теодора Дечкова Димова, Веселин Янчев Василев, Боян Михайлов Йорданов, Иван Веселинов Станев, Иван Венцеславов Анчев и Гюнай Физула Исмаил.</w:t>
      </w:r>
    </w:p>
    <w:p w14:paraId="00000021" w14:textId="77777777" w:rsidR="003C0032" w:rsidRDefault="00C158C5">
      <w:pPr>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 xml:space="preserve">Контролният съвет е в състав от 5 (пет) лица, както следва - Диан Маринов Иванов, Христо Иванов Христов, Диана Тонева Георгиева, Анна Крумова Лисичкова и Чавдар Любомиров Маринов. </w:t>
      </w:r>
    </w:p>
    <w:p w14:paraId="00000022" w14:textId="77777777" w:rsidR="003C0032" w:rsidRDefault="00C158C5">
      <w:pPr>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Партията, съгласно Устава се представлява от Председателя - Цветан Генчев Цветанов. </w:t>
      </w:r>
    </w:p>
    <w:p w14:paraId="00000023" w14:textId="77777777" w:rsidR="003C0032" w:rsidRDefault="00C158C5">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4" w14:textId="77777777" w:rsidR="003C0032" w:rsidRDefault="00C158C5">
      <w:pPr>
        <w:numPr>
          <w:ilvl w:val="0"/>
          <w:numId w:val="3"/>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Цели и принципи</w:t>
      </w:r>
    </w:p>
    <w:p w14:paraId="00000025" w14:textId="77777777" w:rsidR="003C0032" w:rsidRDefault="003C0032">
      <w:pPr>
        <w:jc w:val="both"/>
        <w:rPr>
          <w:rFonts w:ascii="Times New Roman" w:eastAsia="Times New Roman" w:hAnsi="Times New Roman" w:cs="Times New Roman"/>
          <w:sz w:val="24"/>
          <w:szCs w:val="24"/>
        </w:rPr>
      </w:pPr>
    </w:p>
    <w:p w14:paraId="00000026" w14:textId="77777777" w:rsidR="003C0032" w:rsidRDefault="00C158C5">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Целите и принципите на ПП “Републиканци за България” са формулирани от Учредителите на партията в разпоредбите на чл. 2 от Устава, както следва:</w:t>
      </w:r>
    </w:p>
    <w:p w14:paraId="00000027" w14:textId="77777777" w:rsidR="003C0032" w:rsidRDefault="003C0032">
      <w:pPr>
        <w:ind w:firstLine="720"/>
        <w:jc w:val="both"/>
        <w:rPr>
          <w:rFonts w:ascii="Times New Roman" w:eastAsia="Times New Roman" w:hAnsi="Times New Roman" w:cs="Times New Roman"/>
          <w:sz w:val="24"/>
          <w:szCs w:val="24"/>
        </w:rPr>
      </w:pPr>
    </w:p>
    <w:p w14:paraId="00000028" w14:textId="77777777" w:rsidR="003C0032" w:rsidRDefault="00C158C5">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Основните принципи, които „Републиканци за България" отстоява са:</w:t>
      </w:r>
    </w:p>
    <w:p w14:paraId="00000029" w14:textId="77777777" w:rsidR="003C0032" w:rsidRDefault="00C158C5">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Равенство;</w:t>
      </w:r>
    </w:p>
    <w:p w14:paraId="0000002A" w14:textId="77777777" w:rsidR="003C0032" w:rsidRDefault="00C158C5">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Просперитет;</w:t>
      </w:r>
    </w:p>
    <w:p w14:paraId="0000002B" w14:textId="77777777" w:rsidR="003C0032" w:rsidRDefault="00C158C5">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Демократизъм;</w:t>
      </w:r>
    </w:p>
    <w:p w14:paraId="0000002C" w14:textId="77777777" w:rsidR="003C0032" w:rsidRDefault="00C158C5">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Правов ред и върховенство на закона.</w:t>
      </w:r>
    </w:p>
    <w:p w14:paraId="0000002D" w14:textId="77777777" w:rsidR="003C0032" w:rsidRDefault="00C158C5">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Основните цели на политическа партия „Републиканци за България" са:</w:t>
      </w:r>
    </w:p>
    <w:p w14:paraId="0000002E" w14:textId="77777777" w:rsidR="003C0032" w:rsidRDefault="00C158C5">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Гарантиране на гражданските права на територията на Република България и Европейския съюз.</w:t>
      </w:r>
    </w:p>
    <w:p w14:paraId="0000002F" w14:textId="77777777" w:rsidR="003C0032" w:rsidRDefault="00C158C5">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Осигуряване на равни възможности за всички хора на територията на страната, повече възможности за хората в социално неравностойно положение.</w:t>
      </w:r>
    </w:p>
    <w:p w14:paraId="00000030" w14:textId="77777777" w:rsidR="003C0032" w:rsidRDefault="00C158C5">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Повишаване на качеството на живот на територията на цялата страна, повишаване доходите на българите до размер, съизмерим с европейските стандарти за заплащане на труда.</w:t>
      </w:r>
    </w:p>
    <w:p w14:paraId="00000031" w14:textId="77777777" w:rsidR="003C0032" w:rsidRDefault="00C158C5">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Обществената сигурност е в основата на благоприятната среда за развитие и напредък на обществото.</w:t>
      </w:r>
    </w:p>
    <w:p w14:paraId="00000032" w14:textId="77777777" w:rsidR="003C0032" w:rsidRDefault="00C158C5">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Прозрачен и качествен публичен дебат по обществено важни теми е решаващ за необратимото демократично развитие.</w:t>
      </w:r>
    </w:p>
    <w:p w14:paraId="00000033" w14:textId="77777777" w:rsidR="003C0032" w:rsidRDefault="00C158C5">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Насърчаване на свободната инициатива и предприемчивост на активните поколения в страната.</w:t>
      </w:r>
    </w:p>
    <w:p w14:paraId="00000034" w14:textId="77777777" w:rsidR="003C0032" w:rsidRDefault="00C158C5">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Стремеж към обществена солидарност и социална взаимопомощ.</w:t>
      </w:r>
    </w:p>
    <w:p w14:paraId="00000035" w14:textId="77777777" w:rsidR="003C0032" w:rsidRDefault="00C158C5">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Обществената безопасност, обществения ред и сигурността да са резултат от функционираща държавност и ефективна работа на демократични и силни институции.</w:t>
      </w:r>
    </w:p>
    <w:p w14:paraId="00000036" w14:textId="77777777" w:rsidR="003C0032" w:rsidRDefault="00C158C5">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Осигуряване на възможност за ускорено икономическо развитие на отделните региони на територията на Република България.</w:t>
      </w:r>
    </w:p>
    <w:p w14:paraId="00000037" w14:textId="77777777" w:rsidR="003C0032" w:rsidRDefault="00C158C5">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Осигуряване на оптимални условия за външнотърговските отношения на българския бизнес.</w:t>
      </w:r>
    </w:p>
    <w:p w14:paraId="00000038" w14:textId="77777777" w:rsidR="003C0032" w:rsidRDefault="00C158C5">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Осигуряване на оптимални условия за насърчаване на външни инвестиции.</w:t>
      </w:r>
    </w:p>
    <w:p w14:paraId="00000039" w14:textId="77777777" w:rsidR="003C0032" w:rsidRDefault="00C158C5">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Стремеж към балансирана външна политика, която да отстоява с приоритет националния ни интерес и да допринася за съхраняване на българската национална идентичност.</w:t>
      </w:r>
    </w:p>
    <w:p w14:paraId="0000003A" w14:textId="77777777" w:rsidR="003C0032" w:rsidRDefault="00C158C5">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Утвърждаване на демократичните ценности и свободи, водене на дясно-центристка политика и стремеж към необратимо евроатлантическо позициониране на Република България.</w:t>
      </w:r>
    </w:p>
    <w:p w14:paraId="0000003B" w14:textId="77777777" w:rsidR="003C0032" w:rsidRDefault="00C158C5">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Утвърждаване на моралните, духовните и културните ценности на България.</w:t>
      </w:r>
    </w:p>
    <w:p w14:paraId="0000003C" w14:textId="77777777" w:rsidR="003C0032" w:rsidRDefault="00C158C5">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Гарантиране на правовия ред на територията на страната.</w:t>
      </w:r>
    </w:p>
    <w:p w14:paraId="0000003D" w14:textId="77777777" w:rsidR="003C0032" w:rsidRDefault="00C158C5">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Утвърждаване на Република България като политически и икономически център на Югоизточна Европа.</w:t>
      </w:r>
    </w:p>
    <w:p w14:paraId="0000003E" w14:textId="77777777" w:rsidR="003C0032" w:rsidRDefault="00C158C5">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Постигане високо качество на компонентите на околната среда, което благоприятства опазването на човешкото здраве, екосистемите и биологичното разнообразие.</w:t>
      </w:r>
    </w:p>
    <w:p w14:paraId="0000003F" w14:textId="77777777" w:rsidR="003C0032" w:rsidRDefault="00C158C5">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Гарантиране на авторитетна съдебна власт, еманципирана от волята на изпълнителната  власт.</w:t>
      </w:r>
    </w:p>
    <w:p w14:paraId="00000040" w14:textId="77777777" w:rsidR="003C0032" w:rsidRDefault="00C158C5">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Преодоляване на дефектите на свръхперсонализираната власт през последните десетилетия, изкореняване на корупционните практики, чрез разкъсване на властовите обвързаности през налагане на ново поколение политици с висок морал и с висок образователен и професионален ценз.</w:t>
      </w:r>
    </w:p>
    <w:p w14:paraId="00000041" w14:textId="77777777" w:rsidR="003C0032" w:rsidRDefault="00C158C5">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Промяна на корупционните практики в политически модел в страната.</w:t>
      </w:r>
    </w:p>
    <w:p w14:paraId="00000042" w14:textId="77777777" w:rsidR="003C0032" w:rsidRDefault="00C158C5">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Гарантиране на енергийна независимост на страната.</w:t>
      </w:r>
    </w:p>
    <w:p w14:paraId="00000043" w14:textId="77777777" w:rsidR="003C0032" w:rsidRDefault="00C158C5">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Управление на подземните богатства, крайбрежната плажна ивица, водите, горите и защитените територии по начин, който е устойчив във времето и осигурява на бъдещите поколения възможността, да се ползват от благата им.</w:t>
      </w:r>
    </w:p>
    <w:p w14:paraId="00000044" w14:textId="77777777" w:rsidR="003C0032" w:rsidRDefault="00C158C5">
      <w:pPr>
        <w:jc w:val="both"/>
        <w:rPr>
          <w:rFonts w:ascii="Times New Roman" w:eastAsia="Times New Roman" w:hAnsi="Times New Roman" w:cs="Times New Roman"/>
          <w:sz w:val="24"/>
          <w:szCs w:val="24"/>
        </w:rPr>
      </w:pPr>
      <w:r>
        <w:br w:type="page"/>
      </w:r>
    </w:p>
    <w:p w14:paraId="00000045" w14:textId="77777777" w:rsidR="003C0032" w:rsidRDefault="00C158C5">
      <w:pPr>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ПП “Републиканци за България” през 2022 г.</w:t>
      </w:r>
    </w:p>
    <w:p w14:paraId="00000046" w14:textId="77777777" w:rsidR="003C0032" w:rsidRDefault="003C0032">
      <w:pPr>
        <w:jc w:val="both"/>
        <w:rPr>
          <w:rFonts w:ascii="Times New Roman" w:eastAsia="Times New Roman" w:hAnsi="Times New Roman" w:cs="Times New Roman"/>
          <w:sz w:val="24"/>
          <w:szCs w:val="24"/>
        </w:rPr>
      </w:pPr>
    </w:p>
    <w:p w14:paraId="00000047" w14:textId="77777777" w:rsidR="003C0032" w:rsidRDefault="003C0032">
      <w:pPr>
        <w:jc w:val="both"/>
        <w:rPr>
          <w:rFonts w:ascii="Times New Roman" w:eastAsia="Times New Roman" w:hAnsi="Times New Roman" w:cs="Times New Roman"/>
          <w:sz w:val="24"/>
          <w:szCs w:val="24"/>
        </w:rPr>
      </w:pPr>
    </w:p>
    <w:p w14:paraId="00000048" w14:textId="77777777" w:rsidR="003C0032" w:rsidRDefault="00C158C5">
      <w:pPr>
        <w:numPr>
          <w:ilvl w:val="0"/>
          <w:numId w:val="5"/>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Отчет за дейността</w:t>
      </w:r>
    </w:p>
    <w:p w14:paraId="00000049" w14:textId="77777777" w:rsidR="003C0032" w:rsidRDefault="003C0032">
      <w:pPr>
        <w:jc w:val="both"/>
        <w:rPr>
          <w:rFonts w:ascii="Times New Roman" w:eastAsia="Times New Roman" w:hAnsi="Times New Roman" w:cs="Times New Roman"/>
          <w:sz w:val="24"/>
          <w:szCs w:val="24"/>
        </w:rPr>
      </w:pPr>
    </w:p>
    <w:p w14:paraId="0000004A" w14:textId="77777777" w:rsidR="003C0032" w:rsidRDefault="00C15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През 2022 г., ПП “Републиканци за България” взе активно участие в различни дейности и кампании в различни областни градове на страната. Партията взе участие в частичните местни избори, проведени на 27.02.2022 г. В кметство Ветрен дол, община Септември, област Пазарджик, като същите бяха спечелени от кандидата, издигнат от ПП “Републиканци за България”. По надлежния ред беше взето решение партията да не се регистрира за участие в предсрочните избори за народни представители, проведени на 02.10.2022 г. Вместо това, усилията и ресурсите на партията бяха насочени към утвърждаване на партийните структури по места и подготовката за предстоящите местни избори, които ще бъдат проведени през есента на 2023 г. </w:t>
      </w:r>
    </w:p>
    <w:p w14:paraId="0000004B" w14:textId="77777777" w:rsidR="003C0032" w:rsidRDefault="00C15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В рамките на отчетния период, ПП “Републиканци за България” проведе национално събирание, на което бяха взети редица стратегически решения, в това число - освобождава на заместник-председателя на партията - Павел Вълнев и избора на трима нови заместник-председатели - Горан Благоев, Джема Грозданова и Тамер Хасан. </w:t>
      </w:r>
    </w:p>
    <w:p w14:paraId="0000004C" w14:textId="77777777" w:rsidR="003C0032" w:rsidRDefault="003C0032">
      <w:pPr>
        <w:jc w:val="both"/>
        <w:rPr>
          <w:rFonts w:ascii="Times New Roman" w:eastAsia="Times New Roman" w:hAnsi="Times New Roman" w:cs="Times New Roman"/>
          <w:sz w:val="24"/>
          <w:szCs w:val="24"/>
        </w:rPr>
      </w:pPr>
    </w:p>
    <w:p w14:paraId="0000004D" w14:textId="77777777" w:rsidR="003C0032" w:rsidRDefault="003C0032">
      <w:pPr>
        <w:jc w:val="both"/>
        <w:rPr>
          <w:rFonts w:ascii="Times New Roman" w:eastAsia="Times New Roman" w:hAnsi="Times New Roman" w:cs="Times New Roman"/>
          <w:sz w:val="24"/>
          <w:szCs w:val="24"/>
        </w:rPr>
      </w:pPr>
    </w:p>
    <w:p w14:paraId="0000004E" w14:textId="6F3EA89F" w:rsidR="003C0032" w:rsidRDefault="00C158C5">
      <w:pPr>
        <w:numPr>
          <w:ilvl w:val="0"/>
          <w:numId w:val="5"/>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Основни финансови и нефинансови показатели</w:t>
      </w:r>
    </w:p>
    <w:p w14:paraId="51D7D00D" w14:textId="5F5558F7" w:rsidR="00535BEF" w:rsidRDefault="00535BEF" w:rsidP="00535BEF">
      <w:pPr>
        <w:ind w:left="720"/>
        <w:jc w:val="both"/>
        <w:rPr>
          <w:rFonts w:ascii="Times New Roman" w:eastAsia="Times New Roman" w:hAnsi="Times New Roman" w:cs="Times New Roman"/>
          <w:b/>
          <w:sz w:val="24"/>
          <w:szCs w:val="24"/>
        </w:rPr>
      </w:pPr>
    </w:p>
    <w:p w14:paraId="676CAF2F" w14:textId="059B71FF" w:rsidR="00535BEF" w:rsidRDefault="00535BEF" w:rsidP="00535BEF">
      <w:pPr>
        <w:ind w:left="360"/>
        <w:jc w:val="both"/>
        <w:rPr>
          <w:rFonts w:ascii="Times New Roman" w:eastAsia="Times New Roman" w:hAnsi="Times New Roman" w:cs="Times New Roman"/>
          <w:bCs/>
          <w:sz w:val="24"/>
          <w:szCs w:val="24"/>
          <w:lang w:val="bg-BG"/>
        </w:rPr>
      </w:pPr>
      <w:r>
        <w:rPr>
          <w:rFonts w:ascii="Times New Roman" w:eastAsia="Times New Roman" w:hAnsi="Times New Roman" w:cs="Times New Roman"/>
          <w:bCs/>
          <w:sz w:val="24"/>
          <w:szCs w:val="24"/>
          <w:lang w:val="bg-BG"/>
        </w:rPr>
        <w:t xml:space="preserve">     За периода 01.01.202</w:t>
      </w:r>
      <w:r>
        <w:rPr>
          <w:rFonts w:ascii="Times New Roman" w:eastAsia="Times New Roman" w:hAnsi="Times New Roman" w:cs="Times New Roman"/>
          <w:bCs/>
          <w:sz w:val="24"/>
          <w:szCs w:val="24"/>
          <w:lang w:val="en-US"/>
        </w:rPr>
        <w:t>2</w:t>
      </w:r>
      <w:r>
        <w:rPr>
          <w:rFonts w:ascii="Times New Roman" w:eastAsia="Times New Roman" w:hAnsi="Times New Roman" w:cs="Times New Roman"/>
          <w:bCs/>
          <w:sz w:val="24"/>
          <w:szCs w:val="24"/>
          <w:lang w:val="bg-BG"/>
        </w:rPr>
        <w:t>г- 31.12.202</w:t>
      </w:r>
      <w:r>
        <w:rPr>
          <w:rFonts w:ascii="Times New Roman" w:eastAsia="Times New Roman" w:hAnsi="Times New Roman" w:cs="Times New Roman"/>
          <w:bCs/>
          <w:sz w:val="24"/>
          <w:szCs w:val="24"/>
          <w:lang w:val="en-US"/>
        </w:rPr>
        <w:t>2</w:t>
      </w:r>
      <w:r>
        <w:rPr>
          <w:rFonts w:ascii="Times New Roman" w:eastAsia="Times New Roman" w:hAnsi="Times New Roman" w:cs="Times New Roman"/>
          <w:bCs/>
          <w:sz w:val="24"/>
          <w:szCs w:val="24"/>
          <w:lang w:val="bg-BG"/>
        </w:rPr>
        <w:t>г  Партията отчита следните основни показатели:</w:t>
      </w:r>
    </w:p>
    <w:p w14:paraId="4F8980AE" w14:textId="29A64FA5" w:rsidR="00535BEF" w:rsidRDefault="00535BEF" w:rsidP="00535BEF">
      <w:pPr>
        <w:pStyle w:val="ListParagraph"/>
        <w:numPr>
          <w:ilvl w:val="2"/>
          <w:numId w:val="6"/>
        </w:numPr>
        <w:rPr>
          <w:rFonts w:ascii="Times New Roman" w:eastAsia="Times New Roman" w:hAnsi="Times New Roman" w:cs="Times New Roman"/>
          <w:bCs/>
          <w:sz w:val="24"/>
          <w:szCs w:val="24"/>
          <w:lang w:val="bg-BG"/>
        </w:rPr>
      </w:pPr>
      <w:r>
        <w:rPr>
          <w:rFonts w:ascii="Times New Roman" w:eastAsia="Times New Roman" w:hAnsi="Times New Roman" w:cs="Times New Roman"/>
          <w:bCs/>
          <w:sz w:val="24"/>
          <w:szCs w:val="24"/>
          <w:lang w:val="bg-BG"/>
        </w:rPr>
        <w:t>Приходи от дарения без условия-</w:t>
      </w:r>
      <w:r>
        <w:rPr>
          <w:rFonts w:ascii="Times New Roman" w:eastAsia="Times New Roman" w:hAnsi="Times New Roman" w:cs="Times New Roman"/>
          <w:bCs/>
          <w:sz w:val="24"/>
          <w:szCs w:val="24"/>
          <w:lang w:val="en-US"/>
        </w:rPr>
        <w:t xml:space="preserve">  0 </w:t>
      </w:r>
      <w:r>
        <w:rPr>
          <w:rFonts w:ascii="Times New Roman" w:eastAsia="Times New Roman" w:hAnsi="Times New Roman" w:cs="Times New Roman"/>
          <w:bCs/>
          <w:sz w:val="24"/>
          <w:szCs w:val="24"/>
          <w:lang w:val="bg-BG"/>
        </w:rPr>
        <w:t>лв</w:t>
      </w:r>
    </w:p>
    <w:p w14:paraId="691A6E8C" w14:textId="60926540" w:rsidR="00535BEF" w:rsidRPr="00237900" w:rsidRDefault="00535BEF" w:rsidP="00535BEF">
      <w:pPr>
        <w:pStyle w:val="ListParagraph"/>
        <w:numPr>
          <w:ilvl w:val="2"/>
          <w:numId w:val="6"/>
        </w:numPr>
        <w:rPr>
          <w:rFonts w:ascii="Times New Roman" w:eastAsia="Times New Roman" w:hAnsi="Times New Roman" w:cs="Times New Roman"/>
          <w:bCs/>
          <w:sz w:val="24"/>
          <w:szCs w:val="24"/>
          <w:lang w:val="bg-BG"/>
        </w:rPr>
      </w:pPr>
      <w:r w:rsidRPr="00237900">
        <w:rPr>
          <w:rFonts w:ascii="Times New Roman" w:eastAsia="Times New Roman" w:hAnsi="Times New Roman" w:cs="Times New Roman"/>
          <w:bCs/>
          <w:sz w:val="24"/>
          <w:szCs w:val="24"/>
          <w:lang w:val="bg-BG"/>
        </w:rPr>
        <w:t>Приходи от членски внос (доброволни вноски) –</w:t>
      </w:r>
      <w:r>
        <w:rPr>
          <w:rFonts w:ascii="Times New Roman" w:eastAsia="Times New Roman" w:hAnsi="Times New Roman" w:cs="Times New Roman"/>
          <w:bCs/>
          <w:sz w:val="24"/>
          <w:szCs w:val="24"/>
          <w:lang w:val="bg-BG"/>
        </w:rPr>
        <w:t xml:space="preserve"> </w:t>
      </w:r>
      <w:r>
        <w:rPr>
          <w:rFonts w:ascii="Times New Roman" w:eastAsia="Times New Roman" w:hAnsi="Times New Roman" w:cs="Times New Roman"/>
          <w:bCs/>
          <w:sz w:val="24"/>
          <w:szCs w:val="24"/>
          <w:lang w:val="en-US"/>
        </w:rPr>
        <w:t>16</w:t>
      </w:r>
      <w:r>
        <w:rPr>
          <w:rFonts w:ascii="Times New Roman" w:eastAsia="Times New Roman" w:hAnsi="Times New Roman" w:cs="Times New Roman"/>
          <w:bCs/>
          <w:sz w:val="24"/>
          <w:szCs w:val="24"/>
          <w:lang w:val="bg-BG"/>
        </w:rPr>
        <w:t xml:space="preserve"> </w:t>
      </w:r>
      <w:r w:rsidRPr="00237900">
        <w:rPr>
          <w:rFonts w:ascii="Times New Roman" w:eastAsia="Times New Roman" w:hAnsi="Times New Roman" w:cs="Times New Roman"/>
          <w:bCs/>
          <w:sz w:val="24"/>
          <w:szCs w:val="24"/>
          <w:lang w:val="bg-BG"/>
        </w:rPr>
        <w:t>хил.л</w:t>
      </w:r>
      <w:r>
        <w:rPr>
          <w:rFonts w:ascii="Times New Roman" w:eastAsia="Times New Roman" w:hAnsi="Times New Roman" w:cs="Times New Roman"/>
          <w:bCs/>
          <w:sz w:val="24"/>
          <w:szCs w:val="24"/>
          <w:lang w:val="bg-BG"/>
        </w:rPr>
        <w:t>в</w:t>
      </w:r>
      <w:r w:rsidRPr="00237900">
        <w:rPr>
          <w:rFonts w:ascii="Times New Roman" w:eastAsia="Times New Roman" w:hAnsi="Times New Roman" w:cs="Times New Roman"/>
          <w:bCs/>
          <w:sz w:val="24"/>
          <w:szCs w:val="24"/>
          <w:lang w:val="bg-BG"/>
        </w:rPr>
        <w:t xml:space="preserve">             </w:t>
      </w:r>
    </w:p>
    <w:p w14:paraId="360FDACF" w14:textId="3BBE4B12" w:rsidR="00535BEF" w:rsidRDefault="00535BEF" w:rsidP="00535BEF">
      <w:pPr>
        <w:pStyle w:val="ListParagraph"/>
        <w:numPr>
          <w:ilvl w:val="2"/>
          <w:numId w:val="6"/>
        </w:numPr>
        <w:rPr>
          <w:rFonts w:ascii="Times New Roman" w:eastAsia="Times New Roman" w:hAnsi="Times New Roman" w:cs="Times New Roman"/>
          <w:bCs/>
          <w:sz w:val="24"/>
          <w:szCs w:val="24"/>
          <w:lang w:val="bg-BG"/>
        </w:rPr>
      </w:pPr>
      <w:r w:rsidRPr="00237900">
        <w:rPr>
          <w:rFonts w:ascii="Times New Roman" w:eastAsia="Times New Roman" w:hAnsi="Times New Roman" w:cs="Times New Roman"/>
          <w:bCs/>
          <w:sz w:val="24"/>
          <w:szCs w:val="24"/>
          <w:lang w:val="bg-BG"/>
        </w:rPr>
        <w:t xml:space="preserve">Други приходи </w:t>
      </w:r>
      <w:r>
        <w:rPr>
          <w:rFonts w:ascii="Times New Roman" w:eastAsia="Times New Roman" w:hAnsi="Times New Roman" w:cs="Times New Roman"/>
          <w:bCs/>
          <w:sz w:val="24"/>
          <w:szCs w:val="24"/>
          <w:lang w:val="bg-BG"/>
        </w:rPr>
        <w:t xml:space="preserve">( държавна субсидия ) – </w:t>
      </w:r>
      <w:r>
        <w:rPr>
          <w:rFonts w:ascii="Times New Roman" w:eastAsia="Times New Roman" w:hAnsi="Times New Roman" w:cs="Times New Roman"/>
          <w:bCs/>
          <w:sz w:val="24"/>
          <w:szCs w:val="24"/>
          <w:lang w:val="en-US"/>
        </w:rPr>
        <w:t xml:space="preserve">0 </w:t>
      </w:r>
      <w:r>
        <w:rPr>
          <w:rFonts w:ascii="Times New Roman" w:eastAsia="Times New Roman" w:hAnsi="Times New Roman" w:cs="Times New Roman"/>
          <w:bCs/>
          <w:sz w:val="24"/>
          <w:szCs w:val="24"/>
          <w:lang w:val="bg-BG"/>
        </w:rPr>
        <w:t>лв</w:t>
      </w:r>
    </w:p>
    <w:p w14:paraId="194A0AE6" w14:textId="66BBB429" w:rsidR="00535BEF" w:rsidRDefault="00535BEF" w:rsidP="00535BEF">
      <w:pPr>
        <w:pStyle w:val="ListParagraph"/>
        <w:numPr>
          <w:ilvl w:val="2"/>
          <w:numId w:val="6"/>
        </w:numPr>
        <w:rPr>
          <w:rFonts w:ascii="Times New Roman" w:eastAsia="Times New Roman" w:hAnsi="Times New Roman" w:cs="Times New Roman"/>
          <w:bCs/>
          <w:sz w:val="24"/>
          <w:szCs w:val="24"/>
          <w:lang w:val="bg-BG"/>
        </w:rPr>
      </w:pPr>
      <w:r>
        <w:rPr>
          <w:rFonts w:ascii="Times New Roman" w:eastAsia="Times New Roman" w:hAnsi="Times New Roman" w:cs="Times New Roman"/>
          <w:bCs/>
          <w:sz w:val="24"/>
          <w:szCs w:val="24"/>
          <w:lang w:val="bg-BG"/>
        </w:rPr>
        <w:t xml:space="preserve">Финансови приходи – </w:t>
      </w:r>
      <w:r>
        <w:rPr>
          <w:rFonts w:ascii="Times New Roman" w:eastAsia="Times New Roman" w:hAnsi="Times New Roman" w:cs="Times New Roman"/>
          <w:bCs/>
          <w:sz w:val="24"/>
          <w:szCs w:val="24"/>
          <w:lang w:val="en-US"/>
        </w:rPr>
        <w:t>42</w:t>
      </w:r>
      <w:r>
        <w:rPr>
          <w:rFonts w:ascii="Times New Roman" w:eastAsia="Times New Roman" w:hAnsi="Times New Roman" w:cs="Times New Roman"/>
          <w:bCs/>
          <w:sz w:val="24"/>
          <w:szCs w:val="24"/>
          <w:lang w:val="bg-BG"/>
        </w:rPr>
        <w:t xml:space="preserve"> хил.лв</w:t>
      </w:r>
    </w:p>
    <w:p w14:paraId="4890C8E9" w14:textId="241AECB4" w:rsidR="00535BEF" w:rsidRDefault="00535BEF" w:rsidP="00535BEF">
      <w:pPr>
        <w:pStyle w:val="ListParagraph"/>
        <w:numPr>
          <w:ilvl w:val="2"/>
          <w:numId w:val="6"/>
        </w:numPr>
        <w:rPr>
          <w:rFonts w:ascii="Times New Roman" w:eastAsia="Times New Roman" w:hAnsi="Times New Roman" w:cs="Times New Roman"/>
          <w:bCs/>
          <w:sz w:val="24"/>
          <w:szCs w:val="24"/>
          <w:lang w:val="bg-BG"/>
        </w:rPr>
      </w:pPr>
      <w:r>
        <w:rPr>
          <w:rFonts w:ascii="Times New Roman" w:eastAsia="Times New Roman" w:hAnsi="Times New Roman" w:cs="Times New Roman"/>
          <w:bCs/>
          <w:sz w:val="24"/>
          <w:szCs w:val="24"/>
          <w:lang w:val="bg-BG"/>
        </w:rPr>
        <w:t xml:space="preserve">Административни разходи – </w:t>
      </w:r>
      <w:r>
        <w:rPr>
          <w:rFonts w:ascii="Times New Roman" w:eastAsia="Times New Roman" w:hAnsi="Times New Roman" w:cs="Times New Roman"/>
          <w:bCs/>
          <w:sz w:val="24"/>
          <w:szCs w:val="24"/>
          <w:lang w:val="en-US"/>
        </w:rPr>
        <w:t>307</w:t>
      </w:r>
      <w:r>
        <w:rPr>
          <w:rFonts w:ascii="Times New Roman" w:eastAsia="Times New Roman" w:hAnsi="Times New Roman" w:cs="Times New Roman"/>
          <w:bCs/>
          <w:sz w:val="24"/>
          <w:szCs w:val="24"/>
          <w:lang w:val="bg-BG"/>
        </w:rPr>
        <w:t xml:space="preserve"> хил.лв</w:t>
      </w:r>
    </w:p>
    <w:p w14:paraId="757864B0" w14:textId="77777777" w:rsidR="00535BEF" w:rsidRDefault="00535BEF" w:rsidP="00535BEF">
      <w:pPr>
        <w:pStyle w:val="ListParagraph"/>
        <w:numPr>
          <w:ilvl w:val="2"/>
          <w:numId w:val="6"/>
        </w:numPr>
        <w:rPr>
          <w:rFonts w:ascii="Times New Roman" w:eastAsia="Times New Roman" w:hAnsi="Times New Roman" w:cs="Times New Roman"/>
          <w:bCs/>
          <w:sz w:val="24"/>
          <w:szCs w:val="24"/>
          <w:lang w:val="bg-BG"/>
        </w:rPr>
      </w:pPr>
      <w:r>
        <w:rPr>
          <w:rFonts w:ascii="Times New Roman" w:eastAsia="Times New Roman" w:hAnsi="Times New Roman" w:cs="Times New Roman"/>
          <w:bCs/>
          <w:sz w:val="24"/>
          <w:szCs w:val="24"/>
          <w:lang w:val="bg-BG"/>
        </w:rPr>
        <w:t>Разходи за регламентирана дейност  - 1935 хил.лв</w:t>
      </w:r>
    </w:p>
    <w:p w14:paraId="096241C2" w14:textId="211F34A4" w:rsidR="00535BEF" w:rsidRPr="00535BEF" w:rsidRDefault="00535BEF" w:rsidP="00535BEF">
      <w:pPr>
        <w:pStyle w:val="ListParagraph"/>
        <w:numPr>
          <w:ilvl w:val="0"/>
          <w:numId w:val="7"/>
        </w:numPr>
        <w:rPr>
          <w:rFonts w:ascii="Times New Roman" w:eastAsia="Times New Roman" w:hAnsi="Times New Roman" w:cs="Times New Roman"/>
          <w:bCs/>
          <w:sz w:val="24"/>
          <w:szCs w:val="24"/>
          <w:lang w:val="bg-BG"/>
        </w:rPr>
      </w:pPr>
      <w:r>
        <w:rPr>
          <w:rFonts w:ascii="Times New Roman" w:eastAsia="Times New Roman" w:hAnsi="Times New Roman" w:cs="Times New Roman"/>
          <w:bCs/>
          <w:sz w:val="24"/>
          <w:szCs w:val="24"/>
          <w:lang w:val="bg-BG"/>
        </w:rPr>
        <w:t>Други раходи -  1</w:t>
      </w:r>
      <w:r>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bg-BG"/>
        </w:rPr>
        <w:t>хил.лв</w:t>
      </w:r>
    </w:p>
    <w:p w14:paraId="198164AE" w14:textId="2BCE5A1B" w:rsidR="00535BEF" w:rsidRPr="00F91603" w:rsidRDefault="00535BEF" w:rsidP="00535BEF">
      <w:pPr>
        <w:pStyle w:val="ListParagraph"/>
        <w:numPr>
          <w:ilvl w:val="2"/>
          <w:numId w:val="6"/>
        </w:numPr>
        <w:rPr>
          <w:rFonts w:ascii="Times New Roman" w:eastAsia="Times New Roman" w:hAnsi="Times New Roman" w:cs="Times New Roman"/>
          <w:bCs/>
          <w:sz w:val="24"/>
          <w:szCs w:val="24"/>
          <w:lang w:val="bg-BG"/>
        </w:rPr>
      </w:pPr>
      <w:r>
        <w:rPr>
          <w:rFonts w:ascii="Times New Roman" w:eastAsia="Times New Roman" w:hAnsi="Times New Roman" w:cs="Times New Roman"/>
          <w:bCs/>
          <w:sz w:val="24"/>
          <w:szCs w:val="24"/>
          <w:lang w:val="bg-BG"/>
        </w:rPr>
        <w:t xml:space="preserve">Финансови разходи – </w:t>
      </w:r>
      <w:r w:rsidR="00F56236">
        <w:rPr>
          <w:rFonts w:ascii="Times New Roman" w:eastAsia="Times New Roman" w:hAnsi="Times New Roman" w:cs="Times New Roman"/>
          <w:bCs/>
          <w:sz w:val="24"/>
          <w:szCs w:val="24"/>
          <w:lang w:val="en-US"/>
        </w:rPr>
        <w:t>9</w:t>
      </w:r>
      <w:r>
        <w:rPr>
          <w:rFonts w:ascii="Times New Roman" w:eastAsia="Times New Roman" w:hAnsi="Times New Roman" w:cs="Times New Roman"/>
          <w:bCs/>
          <w:sz w:val="24"/>
          <w:szCs w:val="24"/>
          <w:lang w:val="bg-BG"/>
        </w:rPr>
        <w:t xml:space="preserve"> хил.лв</w:t>
      </w:r>
    </w:p>
    <w:p w14:paraId="6842D831" w14:textId="77777777" w:rsidR="00535BEF" w:rsidRDefault="00535BEF" w:rsidP="00535BEF">
      <w:pPr>
        <w:ind w:left="720"/>
        <w:jc w:val="both"/>
        <w:rPr>
          <w:rFonts w:ascii="Times New Roman" w:eastAsia="Times New Roman" w:hAnsi="Times New Roman" w:cs="Times New Roman"/>
          <w:b/>
          <w:sz w:val="24"/>
          <w:szCs w:val="24"/>
        </w:rPr>
      </w:pPr>
    </w:p>
    <w:p w14:paraId="0000004F" w14:textId="77777777" w:rsidR="003C0032" w:rsidRDefault="00C158C5">
      <w:pPr>
        <w:numPr>
          <w:ilvl w:val="0"/>
          <w:numId w:val="5"/>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Важни събития след датата на съставяне на отчета</w:t>
      </w:r>
    </w:p>
    <w:p w14:paraId="00000050" w14:textId="77777777" w:rsidR="003C0032" w:rsidRDefault="003C0032">
      <w:pPr>
        <w:jc w:val="both"/>
        <w:rPr>
          <w:rFonts w:ascii="Times New Roman" w:eastAsia="Times New Roman" w:hAnsi="Times New Roman" w:cs="Times New Roman"/>
          <w:sz w:val="24"/>
          <w:szCs w:val="24"/>
        </w:rPr>
      </w:pPr>
    </w:p>
    <w:p w14:paraId="00000051" w14:textId="77777777" w:rsidR="003C0032" w:rsidRDefault="00C15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В периода от датата на съставяне на отчета - 31.12.2022 г. до момента на приемане и утвърждаване  на настоящия Доклад, ПП “Републиканци за България” продължи подготовката за предстоящите местни избори, които ще се проведат през есента на 2023 г. И взе решение да не се регистрира за участие в предсрочните избори за народни представители, които ще бъдат проведени на 02.04.2023 г. .</w:t>
      </w:r>
    </w:p>
    <w:p w14:paraId="00000052" w14:textId="77777777" w:rsidR="003C0032" w:rsidRDefault="00C15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3" w14:textId="77777777" w:rsidR="003C0032" w:rsidRDefault="00C158C5">
      <w:pPr>
        <w:numPr>
          <w:ilvl w:val="0"/>
          <w:numId w:val="5"/>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Планове за развитие</w:t>
      </w:r>
    </w:p>
    <w:p w14:paraId="00000054" w14:textId="77777777" w:rsidR="003C0032" w:rsidRDefault="003C0032">
      <w:pPr>
        <w:jc w:val="both"/>
        <w:rPr>
          <w:rFonts w:ascii="Times New Roman" w:eastAsia="Times New Roman" w:hAnsi="Times New Roman" w:cs="Times New Roman"/>
          <w:b/>
          <w:sz w:val="24"/>
          <w:szCs w:val="24"/>
        </w:rPr>
      </w:pPr>
    </w:p>
    <w:p w14:paraId="00000055" w14:textId="77777777" w:rsidR="003C0032" w:rsidRDefault="00C158C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b/>
      </w:r>
      <w:r>
        <w:rPr>
          <w:rFonts w:ascii="Times New Roman" w:eastAsia="Times New Roman" w:hAnsi="Times New Roman" w:cs="Times New Roman"/>
          <w:sz w:val="24"/>
          <w:szCs w:val="24"/>
        </w:rPr>
        <w:t xml:space="preserve">Към края на 2022 г., плановете за развитие на ПП “Републиканци за България” са свързани с утвърждаването и развитието на областни организации на територията на цялата страна, разпределени в 29 области - всички административни области в страната. </w:t>
      </w:r>
    </w:p>
    <w:p w14:paraId="00000056" w14:textId="77777777" w:rsidR="003C0032" w:rsidRDefault="00C15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В допълнение към това, ПП “Републиканци за България” има утвърдени планове за участие в местни избори, които ще бъдат проведени през есента на 2023 г. Дългосрочните планове на ПП “Републиканци за България” са свързани с все по-активното участие в обществено-политическия живот на страната.</w:t>
      </w:r>
    </w:p>
    <w:p w14:paraId="00000057" w14:textId="77777777" w:rsidR="003C0032" w:rsidRDefault="003C0032">
      <w:pPr>
        <w:jc w:val="both"/>
        <w:rPr>
          <w:rFonts w:ascii="Times New Roman" w:eastAsia="Times New Roman" w:hAnsi="Times New Roman" w:cs="Times New Roman"/>
          <w:sz w:val="24"/>
          <w:szCs w:val="24"/>
        </w:rPr>
      </w:pPr>
    </w:p>
    <w:p w14:paraId="00000058" w14:textId="77777777" w:rsidR="003C0032" w:rsidRDefault="00C158C5">
      <w:pPr>
        <w:numPr>
          <w:ilvl w:val="0"/>
          <w:numId w:val="5"/>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Научноизследователска и развойна дейност</w:t>
      </w:r>
    </w:p>
    <w:p w14:paraId="00000059" w14:textId="77777777" w:rsidR="003C0032" w:rsidRDefault="003C0032">
      <w:pPr>
        <w:jc w:val="both"/>
        <w:rPr>
          <w:rFonts w:ascii="Times New Roman" w:eastAsia="Times New Roman" w:hAnsi="Times New Roman" w:cs="Times New Roman"/>
          <w:sz w:val="24"/>
          <w:szCs w:val="24"/>
        </w:rPr>
      </w:pPr>
    </w:p>
    <w:p w14:paraId="0000005A" w14:textId="77777777" w:rsidR="003C0032" w:rsidRDefault="00C15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ПП “Републиканци за България” не е извършвала научноизследователска и/или развойна дейност през отчетния период. </w:t>
      </w:r>
    </w:p>
    <w:p w14:paraId="0000005B" w14:textId="77777777" w:rsidR="003C0032" w:rsidRDefault="003C0032">
      <w:pPr>
        <w:jc w:val="both"/>
        <w:rPr>
          <w:rFonts w:ascii="Times New Roman" w:eastAsia="Times New Roman" w:hAnsi="Times New Roman" w:cs="Times New Roman"/>
          <w:sz w:val="24"/>
          <w:szCs w:val="24"/>
        </w:rPr>
      </w:pPr>
    </w:p>
    <w:p w14:paraId="0000005C" w14:textId="77777777" w:rsidR="003C0032" w:rsidRDefault="00C158C5">
      <w:pPr>
        <w:numPr>
          <w:ilvl w:val="0"/>
          <w:numId w:val="5"/>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Собствени акции</w:t>
      </w:r>
    </w:p>
    <w:p w14:paraId="0000005D" w14:textId="77777777" w:rsidR="003C0032" w:rsidRDefault="003C0032">
      <w:pPr>
        <w:jc w:val="both"/>
        <w:rPr>
          <w:rFonts w:ascii="Times New Roman" w:eastAsia="Times New Roman" w:hAnsi="Times New Roman" w:cs="Times New Roman"/>
          <w:b/>
          <w:sz w:val="24"/>
          <w:szCs w:val="24"/>
        </w:rPr>
      </w:pPr>
    </w:p>
    <w:p w14:paraId="0000005E" w14:textId="77777777" w:rsidR="003C0032" w:rsidRDefault="00C158C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“Републиканци за България” е юридическо лице с нестопанска цел, учредено и регистрирано като политическа партия по смисъла на действащото българско законодателство. В този смисъл, то няма акции, съответно - в отчетния период не е придобивало собствени акции.</w:t>
      </w:r>
    </w:p>
    <w:p w14:paraId="0000005F" w14:textId="77777777" w:rsidR="003C0032" w:rsidRDefault="003C0032">
      <w:pPr>
        <w:jc w:val="both"/>
        <w:rPr>
          <w:rFonts w:ascii="Times New Roman" w:eastAsia="Times New Roman" w:hAnsi="Times New Roman" w:cs="Times New Roman"/>
          <w:sz w:val="24"/>
          <w:szCs w:val="24"/>
        </w:rPr>
      </w:pPr>
    </w:p>
    <w:p w14:paraId="00000060" w14:textId="77777777" w:rsidR="003C0032" w:rsidRDefault="00C158C5">
      <w:pPr>
        <w:numPr>
          <w:ilvl w:val="0"/>
          <w:numId w:val="5"/>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Клонова структура</w:t>
      </w:r>
    </w:p>
    <w:p w14:paraId="00000061" w14:textId="77777777" w:rsidR="003C0032" w:rsidRDefault="003C0032">
      <w:pPr>
        <w:jc w:val="both"/>
        <w:rPr>
          <w:rFonts w:ascii="Times New Roman" w:eastAsia="Times New Roman" w:hAnsi="Times New Roman" w:cs="Times New Roman"/>
          <w:b/>
          <w:sz w:val="24"/>
          <w:szCs w:val="24"/>
        </w:rPr>
      </w:pPr>
    </w:p>
    <w:p w14:paraId="00000062" w14:textId="77777777" w:rsidR="003C0032" w:rsidRDefault="00C158C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ПП “Републиканци за България” няма учредени и регистрирани клонове по смисъла на Търговския закон. Съобразно Закона за политическите партии, който има устройствен характер за партията и приетия ѝ Устав, ПП “Републиканци за България” в рамките на отчетния период има утвърдени 25 областни организации - в Област Благоевград, Област Бургас, Област Варна, Област Велико Търново, Област Видин, Област Враца, Област Габрово, Област Добрич, Област Кърджали, Област Кюстендил, Област Монтана, Област Перник, Област Плевен, Пловдив-град, Пловдив-област, Област Разград, Област Русе, Област Сливен, София-град, София-област, Област Стара Загора, Област Търговище, Област Хасково, Област Шумен и Област Ямбол.</w:t>
      </w:r>
    </w:p>
    <w:p w14:paraId="00000063" w14:textId="77777777" w:rsidR="003C0032" w:rsidRDefault="003C0032">
      <w:pPr>
        <w:jc w:val="both"/>
        <w:rPr>
          <w:rFonts w:ascii="Times New Roman" w:eastAsia="Times New Roman" w:hAnsi="Times New Roman" w:cs="Times New Roman"/>
          <w:sz w:val="24"/>
          <w:szCs w:val="24"/>
        </w:rPr>
      </w:pPr>
    </w:p>
    <w:p w14:paraId="00000064" w14:textId="6A9FFF55" w:rsidR="003C0032" w:rsidRDefault="00C158C5">
      <w:pPr>
        <w:numPr>
          <w:ilvl w:val="0"/>
          <w:numId w:val="5"/>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Използвани финансови инструменти</w:t>
      </w:r>
    </w:p>
    <w:p w14:paraId="17134E67" w14:textId="5AB375D2" w:rsidR="00F56236" w:rsidRDefault="00F56236" w:rsidP="00F56236">
      <w:pPr>
        <w:ind w:left="720"/>
        <w:jc w:val="both"/>
        <w:rPr>
          <w:rFonts w:ascii="Times New Roman" w:eastAsia="Times New Roman" w:hAnsi="Times New Roman" w:cs="Times New Roman"/>
          <w:b/>
          <w:sz w:val="24"/>
          <w:szCs w:val="24"/>
        </w:rPr>
      </w:pPr>
    </w:p>
    <w:p w14:paraId="0F939429" w14:textId="77777777" w:rsidR="00F56236" w:rsidRDefault="00F56236" w:rsidP="00F56236">
      <w:pPr>
        <w:ind w:left="720"/>
        <w:jc w:val="both"/>
        <w:rPr>
          <w:rFonts w:ascii="Times New Roman" w:eastAsia="Times New Roman" w:hAnsi="Times New Roman" w:cs="Times New Roman"/>
          <w:bCs/>
          <w:sz w:val="24"/>
          <w:szCs w:val="24"/>
          <w:lang w:val="bg-BG"/>
        </w:rPr>
      </w:pPr>
      <w:r>
        <w:rPr>
          <w:rFonts w:ascii="Times New Roman" w:eastAsia="Times New Roman" w:hAnsi="Times New Roman" w:cs="Times New Roman"/>
          <w:bCs/>
          <w:sz w:val="24"/>
          <w:szCs w:val="24"/>
          <w:lang w:val="bg-BG"/>
        </w:rPr>
        <w:t>През отчетния период не са използвани финансови инструменти и няма сделки с такива.</w:t>
      </w:r>
    </w:p>
    <w:p w14:paraId="31BBE02B" w14:textId="1C56A56E" w:rsidR="00F56236" w:rsidRDefault="00F56236" w:rsidP="00F56236">
      <w:pPr>
        <w:ind w:left="720"/>
        <w:jc w:val="both"/>
        <w:rPr>
          <w:rFonts w:ascii="Times New Roman" w:eastAsia="Times New Roman" w:hAnsi="Times New Roman" w:cs="Times New Roman"/>
          <w:b/>
          <w:sz w:val="24"/>
          <w:szCs w:val="24"/>
        </w:rPr>
      </w:pPr>
    </w:p>
    <w:p w14:paraId="1CD7D6DF" w14:textId="77777777" w:rsidR="00F56236" w:rsidRDefault="00F56236" w:rsidP="00F56236">
      <w:pPr>
        <w:ind w:left="720"/>
        <w:jc w:val="both"/>
        <w:rPr>
          <w:rFonts w:ascii="Times New Roman" w:eastAsia="Times New Roman" w:hAnsi="Times New Roman" w:cs="Times New Roman"/>
          <w:bCs/>
          <w:sz w:val="24"/>
          <w:szCs w:val="24"/>
          <w:lang w:val="bg-BG"/>
        </w:rPr>
      </w:pPr>
      <w:r>
        <w:rPr>
          <w:rFonts w:ascii="Times New Roman" w:eastAsia="Times New Roman" w:hAnsi="Times New Roman" w:cs="Times New Roman"/>
          <w:bCs/>
          <w:sz w:val="24"/>
          <w:szCs w:val="24"/>
          <w:lang w:val="bg-BG"/>
        </w:rPr>
        <w:t xml:space="preserve">                                                               Изготвил :…………………………..</w:t>
      </w:r>
    </w:p>
    <w:p w14:paraId="1F5ADFDD" w14:textId="77777777" w:rsidR="00F56236" w:rsidRDefault="00F56236" w:rsidP="00F56236">
      <w:pPr>
        <w:ind w:left="720"/>
        <w:jc w:val="both"/>
        <w:rPr>
          <w:rFonts w:ascii="Times New Roman" w:eastAsia="Times New Roman" w:hAnsi="Times New Roman" w:cs="Times New Roman"/>
          <w:bCs/>
          <w:sz w:val="24"/>
          <w:szCs w:val="24"/>
          <w:lang w:val="bg-BG"/>
        </w:rPr>
      </w:pPr>
      <w:r>
        <w:rPr>
          <w:rFonts w:ascii="Times New Roman" w:eastAsia="Times New Roman" w:hAnsi="Times New Roman" w:cs="Times New Roman"/>
          <w:bCs/>
          <w:sz w:val="24"/>
          <w:szCs w:val="24"/>
          <w:lang w:val="bg-BG"/>
        </w:rPr>
        <w:t xml:space="preserve">гр.София </w:t>
      </w:r>
    </w:p>
    <w:p w14:paraId="7C4AD342" w14:textId="1123A087" w:rsidR="00F56236" w:rsidRDefault="00F56236" w:rsidP="00F56236">
      <w:pPr>
        <w:jc w:val="both"/>
        <w:rPr>
          <w:rFonts w:ascii="Times New Roman" w:eastAsia="Times New Roman" w:hAnsi="Times New Roman" w:cs="Times New Roman"/>
          <w:bCs/>
          <w:sz w:val="24"/>
          <w:szCs w:val="24"/>
          <w:lang w:val="bg-BG"/>
        </w:rPr>
      </w:pPr>
      <w:r>
        <w:rPr>
          <w:rFonts w:ascii="Times New Roman" w:eastAsia="Times New Roman" w:hAnsi="Times New Roman" w:cs="Times New Roman"/>
          <w:bCs/>
          <w:sz w:val="24"/>
          <w:szCs w:val="24"/>
          <w:lang w:val="en-US"/>
        </w:rPr>
        <w:t xml:space="preserve">            2</w:t>
      </w:r>
      <w:r w:rsidR="00BB1BDE">
        <w:rPr>
          <w:rFonts w:ascii="Times New Roman" w:eastAsia="Times New Roman" w:hAnsi="Times New Roman" w:cs="Times New Roman"/>
          <w:bCs/>
          <w:sz w:val="24"/>
          <w:szCs w:val="24"/>
          <w:lang w:val="bg-BG"/>
        </w:rPr>
        <w:t>2</w:t>
      </w:r>
      <w:r>
        <w:rPr>
          <w:rFonts w:ascii="Times New Roman" w:eastAsia="Times New Roman" w:hAnsi="Times New Roman" w:cs="Times New Roman"/>
          <w:bCs/>
          <w:sz w:val="24"/>
          <w:szCs w:val="24"/>
          <w:lang w:val="en-US"/>
        </w:rPr>
        <w:t>.02</w:t>
      </w:r>
      <w:r>
        <w:rPr>
          <w:rFonts w:ascii="Times New Roman" w:eastAsia="Times New Roman" w:hAnsi="Times New Roman" w:cs="Times New Roman"/>
          <w:bCs/>
          <w:sz w:val="24"/>
          <w:szCs w:val="24"/>
          <w:lang w:val="bg-BG"/>
        </w:rPr>
        <w:t>.202</w:t>
      </w:r>
      <w:r>
        <w:rPr>
          <w:rFonts w:ascii="Times New Roman" w:eastAsia="Times New Roman" w:hAnsi="Times New Roman" w:cs="Times New Roman"/>
          <w:bCs/>
          <w:sz w:val="24"/>
          <w:szCs w:val="24"/>
          <w:lang w:val="en-US"/>
        </w:rPr>
        <w:t>3</w:t>
      </w:r>
      <w:r>
        <w:rPr>
          <w:rFonts w:ascii="Times New Roman" w:eastAsia="Times New Roman" w:hAnsi="Times New Roman" w:cs="Times New Roman"/>
          <w:bCs/>
          <w:sz w:val="24"/>
          <w:szCs w:val="24"/>
          <w:lang w:val="bg-BG"/>
        </w:rPr>
        <w:t>г</w:t>
      </w:r>
    </w:p>
    <w:p w14:paraId="43152276" w14:textId="77777777" w:rsidR="00F56236" w:rsidRDefault="00F56236" w:rsidP="00F56236">
      <w:pPr>
        <w:ind w:left="720"/>
        <w:jc w:val="both"/>
        <w:rPr>
          <w:rFonts w:ascii="Times New Roman" w:eastAsia="Times New Roman" w:hAnsi="Times New Roman" w:cs="Times New Roman"/>
          <w:b/>
          <w:sz w:val="24"/>
          <w:szCs w:val="24"/>
        </w:rPr>
      </w:pPr>
    </w:p>
    <w:sectPr w:rsidR="00F56236">
      <w:headerReference w:type="default" r:id="rId7"/>
      <w:footerReference w:type="default" r:id="rId8"/>
      <w:pgSz w:w="11906" w:h="16838"/>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8B9F2" w14:textId="77777777" w:rsidR="00B73687" w:rsidRDefault="00C158C5">
      <w:pPr>
        <w:spacing w:line="240" w:lineRule="auto"/>
      </w:pPr>
      <w:r>
        <w:separator/>
      </w:r>
    </w:p>
  </w:endnote>
  <w:endnote w:type="continuationSeparator" w:id="0">
    <w:p w14:paraId="39755044" w14:textId="77777777" w:rsidR="00B73687" w:rsidRDefault="00C158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34E7DEF4" w:rsidR="003C0032" w:rsidRDefault="00C158C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35BEF">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0D417" w14:textId="77777777" w:rsidR="00B73687" w:rsidRDefault="00C158C5">
      <w:pPr>
        <w:spacing w:line="240" w:lineRule="auto"/>
      </w:pPr>
      <w:r>
        <w:separator/>
      </w:r>
    </w:p>
  </w:footnote>
  <w:footnote w:type="continuationSeparator" w:id="0">
    <w:p w14:paraId="35770FCE" w14:textId="77777777" w:rsidR="00B73687" w:rsidRDefault="00C158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5" w14:textId="77777777" w:rsidR="003C0032" w:rsidRDefault="003C00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F0807"/>
    <w:multiLevelType w:val="multilevel"/>
    <w:tmpl w:val="40A8E4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left"/>
      <w:pPr>
        <w:ind w:left="2160" w:hanging="360"/>
      </w:p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91314D8"/>
    <w:multiLevelType w:val="multilevel"/>
    <w:tmpl w:val="BC6874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7AC7A68"/>
    <w:multiLevelType w:val="multilevel"/>
    <w:tmpl w:val="54D0340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30B5187"/>
    <w:multiLevelType w:val="multilevel"/>
    <w:tmpl w:val="EC52C5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91F740E"/>
    <w:multiLevelType w:val="multilevel"/>
    <w:tmpl w:val="26306B44"/>
    <w:lvl w:ilvl="0">
      <w:start w:val="1"/>
      <w:numFmt w:val="decimal"/>
      <w:lvlText w:val="%1."/>
      <w:lvlJc w:val="left"/>
      <w:pPr>
        <w:ind w:left="1440" w:hanging="360"/>
      </w:pPr>
      <w:rPr>
        <w:smallCaps w:val="0"/>
        <w:strike w:val="0"/>
        <w:shd w:val="clear" w:color="auto" w:fill="auto"/>
        <w:vertAlign w:val="baseline"/>
      </w:rPr>
    </w:lvl>
    <w:lvl w:ilvl="1">
      <w:start w:val="1"/>
      <w:numFmt w:val="lowerLetter"/>
      <w:lvlText w:val="%2."/>
      <w:lvlJc w:val="left"/>
      <w:pPr>
        <w:ind w:left="2160" w:hanging="360"/>
      </w:pPr>
      <w:rPr>
        <w:smallCaps w:val="0"/>
        <w:strike w:val="0"/>
        <w:shd w:val="clear" w:color="auto" w:fill="auto"/>
        <w:vertAlign w:val="baseline"/>
      </w:rPr>
    </w:lvl>
    <w:lvl w:ilvl="2">
      <w:start w:val="1"/>
      <w:numFmt w:val="lowerRoman"/>
      <w:lvlText w:val="%3."/>
      <w:lvlJc w:val="left"/>
      <w:pPr>
        <w:ind w:left="2880" w:hanging="300"/>
      </w:pPr>
      <w:rPr>
        <w:smallCaps w:val="0"/>
        <w:strike w:val="0"/>
        <w:shd w:val="clear" w:color="auto" w:fill="auto"/>
        <w:vertAlign w:val="baseline"/>
      </w:rPr>
    </w:lvl>
    <w:lvl w:ilvl="3">
      <w:start w:val="1"/>
      <w:numFmt w:val="decimal"/>
      <w:lvlText w:val="%4."/>
      <w:lvlJc w:val="left"/>
      <w:pPr>
        <w:ind w:left="3600" w:hanging="360"/>
      </w:pPr>
      <w:rPr>
        <w:smallCaps w:val="0"/>
        <w:strike w:val="0"/>
        <w:shd w:val="clear" w:color="auto" w:fill="auto"/>
        <w:vertAlign w:val="baseline"/>
      </w:rPr>
    </w:lvl>
    <w:lvl w:ilvl="4">
      <w:start w:val="1"/>
      <w:numFmt w:val="lowerLetter"/>
      <w:lvlText w:val="%5."/>
      <w:lvlJc w:val="left"/>
      <w:pPr>
        <w:ind w:left="4320" w:hanging="360"/>
      </w:pPr>
      <w:rPr>
        <w:smallCaps w:val="0"/>
        <w:strike w:val="0"/>
        <w:shd w:val="clear" w:color="auto" w:fill="auto"/>
        <w:vertAlign w:val="baseline"/>
      </w:rPr>
    </w:lvl>
    <w:lvl w:ilvl="5">
      <w:start w:val="1"/>
      <w:numFmt w:val="lowerRoman"/>
      <w:lvlText w:val="%6."/>
      <w:lvlJc w:val="left"/>
      <w:pPr>
        <w:ind w:left="5040" w:hanging="300"/>
      </w:pPr>
      <w:rPr>
        <w:smallCaps w:val="0"/>
        <w:strike w:val="0"/>
        <w:shd w:val="clear" w:color="auto" w:fill="auto"/>
        <w:vertAlign w:val="baseline"/>
      </w:rPr>
    </w:lvl>
    <w:lvl w:ilvl="6">
      <w:start w:val="1"/>
      <w:numFmt w:val="decimal"/>
      <w:lvlText w:val="%7."/>
      <w:lvlJc w:val="left"/>
      <w:pPr>
        <w:ind w:left="5760" w:hanging="360"/>
      </w:pPr>
      <w:rPr>
        <w:smallCaps w:val="0"/>
        <w:strike w:val="0"/>
        <w:shd w:val="clear" w:color="auto" w:fill="auto"/>
        <w:vertAlign w:val="baseline"/>
      </w:rPr>
    </w:lvl>
    <w:lvl w:ilvl="7">
      <w:start w:val="1"/>
      <w:numFmt w:val="lowerLetter"/>
      <w:lvlText w:val="%8."/>
      <w:lvlJc w:val="left"/>
      <w:pPr>
        <w:ind w:left="6480" w:hanging="360"/>
      </w:pPr>
      <w:rPr>
        <w:smallCaps w:val="0"/>
        <w:strike w:val="0"/>
        <w:shd w:val="clear" w:color="auto" w:fill="auto"/>
        <w:vertAlign w:val="baseline"/>
      </w:rPr>
    </w:lvl>
    <w:lvl w:ilvl="8">
      <w:start w:val="1"/>
      <w:numFmt w:val="lowerRoman"/>
      <w:lvlText w:val="%9."/>
      <w:lvlJc w:val="left"/>
      <w:pPr>
        <w:ind w:left="7200" w:hanging="300"/>
      </w:pPr>
      <w:rPr>
        <w:smallCaps w:val="0"/>
        <w:strike w:val="0"/>
        <w:shd w:val="clear" w:color="auto" w:fill="auto"/>
        <w:vertAlign w:val="baseline"/>
      </w:rPr>
    </w:lvl>
  </w:abstractNum>
  <w:abstractNum w:abstractNumId="5" w15:restartNumberingAfterBreak="0">
    <w:nsid w:val="63B2666F"/>
    <w:multiLevelType w:val="hybridMultilevel"/>
    <w:tmpl w:val="96FEF926"/>
    <w:lvl w:ilvl="0" w:tplc="21A4FD64">
      <w:start w:val="1"/>
      <w:numFmt w:val="bullet"/>
      <w:lvlText w:val="-"/>
      <w:lvlJc w:val="left"/>
      <w:pPr>
        <w:ind w:left="2520" w:hanging="360"/>
      </w:pPr>
      <w:rPr>
        <w:rFonts w:ascii="Times New Roman" w:eastAsia="Times New Roman" w:hAnsi="Times New Roman" w:cs="Times New Roman" w:hint="default"/>
      </w:rPr>
    </w:lvl>
    <w:lvl w:ilvl="1" w:tplc="04020003" w:tentative="1">
      <w:start w:val="1"/>
      <w:numFmt w:val="bullet"/>
      <w:lvlText w:val="o"/>
      <w:lvlJc w:val="left"/>
      <w:pPr>
        <w:ind w:left="3240" w:hanging="360"/>
      </w:pPr>
      <w:rPr>
        <w:rFonts w:ascii="Courier New" w:hAnsi="Courier New" w:cs="Courier New" w:hint="default"/>
      </w:rPr>
    </w:lvl>
    <w:lvl w:ilvl="2" w:tplc="04020005" w:tentative="1">
      <w:start w:val="1"/>
      <w:numFmt w:val="bullet"/>
      <w:lvlText w:val=""/>
      <w:lvlJc w:val="left"/>
      <w:pPr>
        <w:ind w:left="3960" w:hanging="360"/>
      </w:pPr>
      <w:rPr>
        <w:rFonts w:ascii="Wingdings" w:hAnsi="Wingdings" w:hint="default"/>
      </w:rPr>
    </w:lvl>
    <w:lvl w:ilvl="3" w:tplc="04020001" w:tentative="1">
      <w:start w:val="1"/>
      <w:numFmt w:val="bullet"/>
      <w:lvlText w:val=""/>
      <w:lvlJc w:val="left"/>
      <w:pPr>
        <w:ind w:left="4680" w:hanging="360"/>
      </w:pPr>
      <w:rPr>
        <w:rFonts w:ascii="Symbol" w:hAnsi="Symbol" w:hint="default"/>
      </w:rPr>
    </w:lvl>
    <w:lvl w:ilvl="4" w:tplc="04020003" w:tentative="1">
      <w:start w:val="1"/>
      <w:numFmt w:val="bullet"/>
      <w:lvlText w:val="o"/>
      <w:lvlJc w:val="left"/>
      <w:pPr>
        <w:ind w:left="5400" w:hanging="360"/>
      </w:pPr>
      <w:rPr>
        <w:rFonts w:ascii="Courier New" w:hAnsi="Courier New" w:cs="Courier New" w:hint="default"/>
      </w:rPr>
    </w:lvl>
    <w:lvl w:ilvl="5" w:tplc="04020005" w:tentative="1">
      <w:start w:val="1"/>
      <w:numFmt w:val="bullet"/>
      <w:lvlText w:val=""/>
      <w:lvlJc w:val="left"/>
      <w:pPr>
        <w:ind w:left="6120" w:hanging="360"/>
      </w:pPr>
      <w:rPr>
        <w:rFonts w:ascii="Wingdings" w:hAnsi="Wingdings" w:hint="default"/>
      </w:rPr>
    </w:lvl>
    <w:lvl w:ilvl="6" w:tplc="04020001" w:tentative="1">
      <w:start w:val="1"/>
      <w:numFmt w:val="bullet"/>
      <w:lvlText w:val=""/>
      <w:lvlJc w:val="left"/>
      <w:pPr>
        <w:ind w:left="6840" w:hanging="360"/>
      </w:pPr>
      <w:rPr>
        <w:rFonts w:ascii="Symbol" w:hAnsi="Symbol" w:hint="default"/>
      </w:rPr>
    </w:lvl>
    <w:lvl w:ilvl="7" w:tplc="04020003" w:tentative="1">
      <w:start w:val="1"/>
      <w:numFmt w:val="bullet"/>
      <w:lvlText w:val="o"/>
      <w:lvlJc w:val="left"/>
      <w:pPr>
        <w:ind w:left="7560" w:hanging="360"/>
      </w:pPr>
      <w:rPr>
        <w:rFonts w:ascii="Courier New" w:hAnsi="Courier New" w:cs="Courier New" w:hint="default"/>
      </w:rPr>
    </w:lvl>
    <w:lvl w:ilvl="8" w:tplc="04020005" w:tentative="1">
      <w:start w:val="1"/>
      <w:numFmt w:val="bullet"/>
      <w:lvlText w:val=""/>
      <w:lvlJc w:val="left"/>
      <w:pPr>
        <w:ind w:left="8280" w:hanging="360"/>
      </w:pPr>
      <w:rPr>
        <w:rFonts w:ascii="Wingdings" w:hAnsi="Wingdings" w:hint="default"/>
      </w:rPr>
    </w:lvl>
  </w:abstractNum>
  <w:abstractNum w:abstractNumId="6" w15:restartNumberingAfterBreak="0">
    <w:nsid w:val="6C925E81"/>
    <w:multiLevelType w:val="multilevel"/>
    <w:tmpl w:val="753010D0"/>
    <w:lvl w:ilvl="0">
      <w:start w:val="1"/>
      <w:numFmt w:val="decimal"/>
      <w:lvlText w:val="%1."/>
      <w:lvlJc w:val="left"/>
      <w:pPr>
        <w:ind w:left="1440" w:hanging="360"/>
      </w:pPr>
      <w:rPr>
        <w:smallCaps w:val="0"/>
        <w:strike w:val="0"/>
        <w:shd w:val="clear" w:color="auto" w:fill="auto"/>
        <w:vertAlign w:val="baseline"/>
      </w:rPr>
    </w:lvl>
    <w:lvl w:ilvl="1">
      <w:start w:val="1"/>
      <w:numFmt w:val="lowerLetter"/>
      <w:lvlText w:val="%2."/>
      <w:lvlJc w:val="left"/>
      <w:pPr>
        <w:ind w:left="2160" w:hanging="360"/>
      </w:pPr>
      <w:rPr>
        <w:smallCaps w:val="0"/>
        <w:strike w:val="0"/>
        <w:shd w:val="clear" w:color="auto" w:fill="auto"/>
        <w:vertAlign w:val="baseline"/>
      </w:rPr>
    </w:lvl>
    <w:lvl w:ilvl="2">
      <w:start w:val="1"/>
      <w:numFmt w:val="lowerRoman"/>
      <w:lvlText w:val="%3."/>
      <w:lvlJc w:val="left"/>
      <w:pPr>
        <w:ind w:left="2880" w:hanging="300"/>
      </w:pPr>
      <w:rPr>
        <w:smallCaps w:val="0"/>
        <w:strike w:val="0"/>
        <w:shd w:val="clear" w:color="auto" w:fill="auto"/>
        <w:vertAlign w:val="baseline"/>
      </w:rPr>
    </w:lvl>
    <w:lvl w:ilvl="3">
      <w:start w:val="1"/>
      <w:numFmt w:val="decimal"/>
      <w:lvlText w:val="%4."/>
      <w:lvlJc w:val="left"/>
      <w:pPr>
        <w:ind w:left="3600" w:hanging="360"/>
      </w:pPr>
      <w:rPr>
        <w:smallCaps w:val="0"/>
        <w:strike w:val="0"/>
        <w:shd w:val="clear" w:color="auto" w:fill="auto"/>
        <w:vertAlign w:val="baseline"/>
      </w:rPr>
    </w:lvl>
    <w:lvl w:ilvl="4">
      <w:start w:val="1"/>
      <w:numFmt w:val="lowerLetter"/>
      <w:lvlText w:val="%5."/>
      <w:lvlJc w:val="left"/>
      <w:pPr>
        <w:ind w:left="4320" w:hanging="360"/>
      </w:pPr>
      <w:rPr>
        <w:smallCaps w:val="0"/>
        <w:strike w:val="0"/>
        <w:shd w:val="clear" w:color="auto" w:fill="auto"/>
        <w:vertAlign w:val="baseline"/>
      </w:rPr>
    </w:lvl>
    <w:lvl w:ilvl="5">
      <w:start w:val="1"/>
      <w:numFmt w:val="lowerRoman"/>
      <w:lvlText w:val="%6."/>
      <w:lvlJc w:val="left"/>
      <w:pPr>
        <w:ind w:left="5040" w:hanging="300"/>
      </w:pPr>
      <w:rPr>
        <w:smallCaps w:val="0"/>
        <w:strike w:val="0"/>
        <w:shd w:val="clear" w:color="auto" w:fill="auto"/>
        <w:vertAlign w:val="baseline"/>
      </w:rPr>
    </w:lvl>
    <w:lvl w:ilvl="6">
      <w:start w:val="1"/>
      <w:numFmt w:val="decimal"/>
      <w:lvlText w:val="%7."/>
      <w:lvlJc w:val="left"/>
      <w:pPr>
        <w:ind w:left="5760" w:hanging="360"/>
      </w:pPr>
      <w:rPr>
        <w:smallCaps w:val="0"/>
        <w:strike w:val="0"/>
        <w:shd w:val="clear" w:color="auto" w:fill="auto"/>
        <w:vertAlign w:val="baseline"/>
      </w:rPr>
    </w:lvl>
    <w:lvl w:ilvl="7">
      <w:start w:val="1"/>
      <w:numFmt w:val="lowerLetter"/>
      <w:lvlText w:val="%8."/>
      <w:lvlJc w:val="left"/>
      <w:pPr>
        <w:ind w:left="6480" w:hanging="360"/>
      </w:pPr>
      <w:rPr>
        <w:smallCaps w:val="0"/>
        <w:strike w:val="0"/>
        <w:shd w:val="clear" w:color="auto" w:fill="auto"/>
        <w:vertAlign w:val="baseline"/>
      </w:rPr>
    </w:lvl>
    <w:lvl w:ilvl="8">
      <w:start w:val="1"/>
      <w:numFmt w:val="lowerRoman"/>
      <w:lvlText w:val="%9."/>
      <w:lvlJc w:val="left"/>
      <w:pPr>
        <w:ind w:left="7200" w:hanging="300"/>
      </w:pPr>
      <w:rPr>
        <w:smallCaps w:val="0"/>
        <w:strike w:val="0"/>
        <w:shd w:val="clear" w:color="auto" w:fill="auto"/>
        <w:vertAlign w:val="baseline"/>
      </w:rPr>
    </w:lvl>
  </w:abstractNum>
  <w:num w:numId="1" w16cid:durableId="1866409234">
    <w:abstractNumId w:val="2"/>
  </w:num>
  <w:num w:numId="2" w16cid:durableId="1596094336">
    <w:abstractNumId w:val="4"/>
  </w:num>
  <w:num w:numId="3" w16cid:durableId="1782260662">
    <w:abstractNumId w:val="1"/>
  </w:num>
  <w:num w:numId="4" w16cid:durableId="1112553630">
    <w:abstractNumId w:val="6"/>
  </w:num>
  <w:num w:numId="5" w16cid:durableId="1056702506">
    <w:abstractNumId w:val="3"/>
  </w:num>
  <w:num w:numId="6" w16cid:durableId="1240599371">
    <w:abstractNumId w:val="0"/>
  </w:num>
  <w:num w:numId="7" w16cid:durableId="19381742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032"/>
    <w:rsid w:val="003C0032"/>
    <w:rsid w:val="00535BEF"/>
    <w:rsid w:val="00B73687"/>
    <w:rsid w:val="00BB1BDE"/>
    <w:rsid w:val="00C158C5"/>
    <w:rsid w:val="00F5623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C9F74"/>
  <w15:docId w15:val="{9DC3D180-A809-46AB-A0D5-98435CCA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bg-BG"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535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Asya Dimitrova</cp:lastModifiedBy>
  <cp:revision>3</cp:revision>
  <dcterms:created xsi:type="dcterms:W3CDTF">2023-03-23T07:16:00Z</dcterms:created>
  <dcterms:modified xsi:type="dcterms:W3CDTF">2023-03-23T07:53:00Z</dcterms:modified>
</cp:coreProperties>
</file>